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DB0" w14:textId="7BFD2C70" w:rsidR="00FB3096" w:rsidRDefault="00FB3096" w:rsidP="00FB309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CBB4A" wp14:editId="17A3A4FD">
                <wp:simplePos x="0" y="0"/>
                <wp:positionH relativeFrom="column">
                  <wp:posOffset>-96520</wp:posOffset>
                </wp:positionH>
                <wp:positionV relativeFrom="paragraph">
                  <wp:posOffset>-78105</wp:posOffset>
                </wp:positionV>
                <wp:extent cx="5948680" cy="1861185"/>
                <wp:effectExtent l="0" t="0" r="0" b="5715"/>
                <wp:wrapNone/>
                <wp:docPr id="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680" cy="1861185"/>
                        </a:xfrm>
                        <a:prstGeom prst="rect">
                          <a:avLst/>
                        </a:prstGeom>
                        <a:solidFill>
                          <a:srgbClr val="FF860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9E72FB" w14:textId="77777777" w:rsidR="00FB3096" w:rsidRDefault="00FB3096" w:rsidP="00FB3096"/>
                          <w:tbl>
                            <w:tblPr>
                              <w:tblW w:w="8839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426"/>
                              <w:gridCol w:w="7420"/>
                              <w:gridCol w:w="234"/>
                              <w:gridCol w:w="192"/>
                            </w:tblGrid>
                            <w:tr w:rsidR="00FB3096" w:rsidRPr="0097265B" w14:paraId="2B395171" w14:textId="77777777" w:rsidTr="0024102E">
                              <w:trPr>
                                <w:gridAfter w:val="2"/>
                                <w:wAfter w:w="426" w:type="dxa"/>
                                <w:trHeight w:val="39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6AADD362" w14:textId="77777777" w:rsidR="00FB3096" w:rsidRPr="009F1E1E" w:rsidRDefault="00FB3096" w:rsidP="00D30BB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6" w:type="dxa"/>
                                  <w:gridSpan w:val="2"/>
                                </w:tcPr>
                                <w:p w14:paraId="29934C64" w14:textId="77777777" w:rsidR="00FB3096" w:rsidRDefault="00FB3096" w:rsidP="0024102E"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  <w:r w:rsidRPr="0024102E"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>Przygotowany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 xml:space="preserve"> dla Klientów DMS TAX</w:t>
                                  </w:r>
                                  <w:r w:rsidRPr="0024102E"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  <w:p w14:paraId="12E6607D" w14:textId="77777777" w:rsidR="00FB3096" w:rsidRDefault="00FB3096" w:rsidP="0024102E"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  <w:r w:rsidRPr="0024102E"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 xml:space="preserve">przez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>Dział Cen Transferowych</w:t>
                                  </w:r>
                                </w:p>
                                <w:p w14:paraId="2B104BD1" w14:textId="77777777" w:rsidR="00FB3096" w:rsidRPr="0024102E" w:rsidRDefault="00FB3096" w:rsidP="0024102E"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FB3096" w:rsidRPr="0097265B" w14:paraId="5E7F8CE4" w14:textId="77777777" w:rsidTr="00674E8C">
                              <w:trPr>
                                <w:gridAfter w:val="1"/>
                                <w:wAfter w:w="192" w:type="dxa"/>
                                <w:trHeight w:val="39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50F61E96" w14:textId="77777777" w:rsidR="00FB3096" w:rsidRPr="009F1E1E" w:rsidRDefault="00FB3096" w:rsidP="001C394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  <w:gridSpan w:val="3"/>
                                </w:tcPr>
                                <w:p w14:paraId="0D0045B9" w14:textId="77777777" w:rsidR="00FB3096" w:rsidRPr="0024102E" w:rsidRDefault="00FB3096" w:rsidP="00B60DA3">
                                  <w:pPr>
                                    <w:spacing w:before="100" w:after="10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FFFF"/>
                                      <w:sz w:val="28"/>
                                      <w:szCs w:val="28"/>
                                    </w:rPr>
                                    <w:t>Temat: Planowane zmiany przepisów dot. cen transferowych od roku podatkowego 2026</w:t>
                                  </w:r>
                                  <w:r w:rsidRPr="00C017CB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FFFFFF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B3096" w:rsidRPr="0097265B" w14:paraId="319C012E" w14:textId="77777777" w:rsidTr="001C394A">
                              <w:trPr>
                                <w:trHeight w:val="407"/>
                              </w:trPr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14:paraId="5E4CF9FE" w14:textId="77777777" w:rsidR="00FB3096" w:rsidRPr="009F1E1E" w:rsidRDefault="00FB3096" w:rsidP="001C394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6" w:type="dxa"/>
                                  <w:gridSpan w:val="3"/>
                                </w:tcPr>
                                <w:p w14:paraId="4A1F6615" w14:textId="77777777" w:rsidR="00FB3096" w:rsidRPr="0097265B" w:rsidRDefault="00FB3096" w:rsidP="0024102E">
                                  <w:pPr>
                                    <w:tabs>
                                      <w:tab w:val="left" w:pos="0"/>
                                      <w:tab w:val="left" w:pos="3635"/>
                                    </w:tabs>
                                    <w:rPr>
                                      <w:rFonts w:ascii="Arial" w:hAnsi="Arial" w:cs="Arial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61B7A" w14:textId="77777777" w:rsidR="00FB3096" w:rsidRPr="0004363C" w:rsidRDefault="00FB3096" w:rsidP="00FB3096">
                            <w:pPr>
                              <w:pStyle w:val="Akapitzlist"/>
                              <w:ind w:left="0"/>
                              <w:jc w:val="both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CBB4A" id="Prostokąt 4" o:spid="_x0000_s1026" style="position:absolute;margin-left:-7.6pt;margin-top:-6.15pt;width:468.4pt;height:1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" fillcolor="#ff8601" stroked="f" strokeweight="2pt">
                <v:textbox>
                  <w:txbxContent>
                    <w:p w14:paraId="459E72FB" w14:textId="77777777" w:rsidR="00FB3096" w:rsidRDefault="00FB3096" w:rsidP="00FB3096"/>
                    <w:tbl>
                      <w:tblPr>
                        <w:tblW w:w="8839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7"/>
                        <w:gridCol w:w="426"/>
                        <w:gridCol w:w="7420"/>
                        <w:gridCol w:w="234"/>
                        <w:gridCol w:w="192"/>
                      </w:tblGrid>
                      <w:tr w:rsidR="00FB3096" w:rsidRPr="0097265B" w14:paraId="2B395171" w14:textId="77777777" w:rsidTr="0024102E">
                        <w:trPr>
                          <w:gridAfter w:val="2"/>
                          <w:wAfter w:w="426" w:type="dxa"/>
                          <w:trHeight w:val="397"/>
                        </w:trPr>
                        <w:tc>
                          <w:tcPr>
                            <w:tcW w:w="567" w:type="dxa"/>
                          </w:tcPr>
                          <w:p w14:paraId="6AADD362" w14:textId="77777777" w:rsidR="00FB3096" w:rsidRPr="009F1E1E" w:rsidRDefault="00FB3096" w:rsidP="00D30BB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46" w:type="dxa"/>
                            <w:gridSpan w:val="2"/>
                          </w:tcPr>
                          <w:p w14:paraId="29934C64" w14:textId="77777777" w:rsidR="00FB3096" w:rsidRDefault="00FB3096" w:rsidP="0024102E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24102E">
                              <w:rPr>
                                <w:rFonts w:ascii="Arial" w:hAnsi="Arial" w:cs="Arial"/>
                                <w:color w:val="FFFFFF"/>
                              </w:rPr>
                              <w:t>Przygotowany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dla Klientów DMS TAX</w:t>
                            </w:r>
                            <w:r w:rsidRPr="0024102E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</w:t>
                            </w:r>
                          </w:p>
                          <w:p w14:paraId="12E6607D" w14:textId="77777777" w:rsidR="00FB3096" w:rsidRDefault="00FB3096" w:rsidP="0024102E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24102E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przez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Dział Cen Transferowych</w:t>
                            </w:r>
                          </w:p>
                          <w:p w14:paraId="2B104BD1" w14:textId="77777777" w:rsidR="00FB3096" w:rsidRPr="0024102E" w:rsidRDefault="00FB3096" w:rsidP="0024102E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</w:tr>
                      <w:tr w:rsidR="00FB3096" w:rsidRPr="0097265B" w14:paraId="5E7F8CE4" w14:textId="77777777" w:rsidTr="00674E8C">
                        <w:trPr>
                          <w:gridAfter w:val="1"/>
                          <w:wAfter w:w="192" w:type="dxa"/>
                          <w:trHeight w:val="397"/>
                        </w:trPr>
                        <w:tc>
                          <w:tcPr>
                            <w:tcW w:w="567" w:type="dxa"/>
                          </w:tcPr>
                          <w:p w14:paraId="50F61E96" w14:textId="77777777" w:rsidR="00FB3096" w:rsidRPr="009F1E1E" w:rsidRDefault="00FB3096" w:rsidP="001C394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  <w:gridSpan w:val="3"/>
                          </w:tcPr>
                          <w:p w14:paraId="0D0045B9" w14:textId="77777777" w:rsidR="00FB3096" w:rsidRPr="0024102E" w:rsidRDefault="00FB3096" w:rsidP="00B60DA3">
                            <w:pPr>
                              <w:spacing w:before="100" w:after="10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Temat: Planowane zmiany przepisów dot. cen transferowych od roku podatkowego 2026</w:t>
                            </w:r>
                            <w:r w:rsidRPr="00C017CB">
                              <w:rPr>
                                <w:rFonts w:ascii="Arial" w:hAnsi="Arial" w:cs="Arial"/>
                                <w:b/>
                                <w:i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FB3096" w:rsidRPr="0097265B" w14:paraId="319C012E" w14:textId="77777777" w:rsidTr="001C394A">
                        <w:trPr>
                          <w:trHeight w:val="407"/>
                        </w:trPr>
                        <w:tc>
                          <w:tcPr>
                            <w:tcW w:w="993" w:type="dxa"/>
                            <w:gridSpan w:val="2"/>
                          </w:tcPr>
                          <w:p w14:paraId="5E4CF9FE" w14:textId="77777777" w:rsidR="00FB3096" w:rsidRPr="009F1E1E" w:rsidRDefault="00FB3096" w:rsidP="001C394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846" w:type="dxa"/>
                            <w:gridSpan w:val="3"/>
                          </w:tcPr>
                          <w:p w14:paraId="4A1F6615" w14:textId="77777777" w:rsidR="00FB3096" w:rsidRPr="0097265B" w:rsidRDefault="00FB3096" w:rsidP="0024102E">
                            <w:pPr>
                              <w:tabs>
                                <w:tab w:val="left" w:pos="0"/>
                                <w:tab w:val="left" w:pos="3635"/>
                              </w:tabs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8E61B7A" w14:textId="77777777" w:rsidR="00FB3096" w:rsidRPr="0004363C" w:rsidRDefault="00FB3096" w:rsidP="00FB3096">
                      <w:pPr>
                        <w:pStyle w:val="Akapitzlist"/>
                        <w:ind w:left="0"/>
                        <w:jc w:val="both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1C9D26" w14:textId="77777777" w:rsidR="00FB3096" w:rsidRPr="009F1E1E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341"/>
        <w:gridCol w:w="7353"/>
      </w:tblGrid>
      <w:tr w:rsidR="00FB3096" w:rsidRPr="009F1E1E" w14:paraId="67C1460C" w14:textId="77777777" w:rsidTr="00D82CB2">
        <w:trPr>
          <w:trHeight w:val="397"/>
        </w:trPr>
        <w:tc>
          <w:tcPr>
            <w:tcW w:w="1486" w:type="dxa"/>
          </w:tcPr>
          <w:p w14:paraId="22C5B072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150EBFA3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3" w:type="dxa"/>
          </w:tcPr>
          <w:p w14:paraId="71DA88DC" w14:textId="77777777" w:rsidR="00FB3096" w:rsidRPr="009F1E1E" w:rsidRDefault="00FB3096" w:rsidP="00D82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96" w:rsidRPr="00EA796A" w14:paraId="378DF45C" w14:textId="77777777" w:rsidTr="00D82CB2">
        <w:trPr>
          <w:trHeight w:val="397"/>
        </w:trPr>
        <w:tc>
          <w:tcPr>
            <w:tcW w:w="1486" w:type="dxa"/>
          </w:tcPr>
          <w:p w14:paraId="7CA92A60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00CB93EC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3" w:type="dxa"/>
          </w:tcPr>
          <w:p w14:paraId="1CF67FB5" w14:textId="77777777" w:rsidR="00FB3096" w:rsidRPr="00EA796A" w:rsidRDefault="00FB3096" w:rsidP="00D82CB2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96" w:rsidRPr="009F1E1E" w14:paraId="51DC55B6" w14:textId="77777777" w:rsidTr="00D82CB2">
        <w:trPr>
          <w:trHeight w:val="397"/>
        </w:trPr>
        <w:tc>
          <w:tcPr>
            <w:tcW w:w="1486" w:type="dxa"/>
          </w:tcPr>
          <w:p w14:paraId="5BE435D7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5CF2551E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3" w:type="dxa"/>
          </w:tcPr>
          <w:p w14:paraId="57B83BD6" w14:textId="77777777" w:rsidR="00FB3096" w:rsidRPr="001C394A" w:rsidRDefault="00FB3096" w:rsidP="00D82CB2">
            <w:pPr>
              <w:spacing w:before="100" w:after="100" w:line="280" w:lineRule="atLeast"/>
              <w:jc w:val="both"/>
              <w:rPr>
                <w:rFonts w:ascii="Arial" w:hAnsi="Arial" w:cs="Arial"/>
                <w:b/>
                <w:i/>
                <w:color w:val="1F497D"/>
                <w:sz w:val="20"/>
                <w:szCs w:val="20"/>
              </w:rPr>
            </w:pPr>
          </w:p>
        </w:tc>
      </w:tr>
      <w:tr w:rsidR="00FB3096" w:rsidRPr="009F1E1E" w14:paraId="297CAEA1" w14:textId="77777777" w:rsidTr="00D82CB2">
        <w:trPr>
          <w:trHeight w:val="407"/>
        </w:trPr>
        <w:tc>
          <w:tcPr>
            <w:tcW w:w="1486" w:type="dxa"/>
          </w:tcPr>
          <w:p w14:paraId="0CD10036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dxa"/>
          </w:tcPr>
          <w:p w14:paraId="4901C9F8" w14:textId="77777777" w:rsidR="00FB3096" w:rsidRPr="009F1E1E" w:rsidRDefault="00FB3096" w:rsidP="00D82CB2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3" w:type="dxa"/>
          </w:tcPr>
          <w:p w14:paraId="64AE0B54" w14:textId="77777777" w:rsidR="00FB3096" w:rsidRDefault="00FB3096" w:rsidP="00D82CB2">
            <w:pPr>
              <w:tabs>
                <w:tab w:val="left" w:pos="0"/>
                <w:tab w:val="left" w:pos="3635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3F5865D" w14:textId="77777777" w:rsidR="00FB3096" w:rsidRDefault="00FB3096" w:rsidP="00D82CB2">
            <w:pPr>
              <w:tabs>
                <w:tab w:val="left" w:pos="0"/>
                <w:tab w:val="left" w:pos="3635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D304006" w14:textId="77777777" w:rsidR="00FB3096" w:rsidRDefault="00FB3096" w:rsidP="00D82CB2">
            <w:pPr>
              <w:tabs>
                <w:tab w:val="left" w:pos="0"/>
                <w:tab w:val="left" w:pos="3635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1526C2" w14:textId="77777777" w:rsidR="00FB3096" w:rsidRPr="009F1E1E" w:rsidRDefault="00FB3096" w:rsidP="00D82CB2">
            <w:pPr>
              <w:tabs>
                <w:tab w:val="left" w:pos="0"/>
                <w:tab w:val="left" w:pos="3635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41B46" w14:textId="77777777" w:rsidR="00FB3096" w:rsidRDefault="00FB3096" w:rsidP="00FB3096">
      <w:pPr>
        <w:rPr>
          <w:rFonts w:ascii="Arial" w:hAnsi="Arial" w:cs="Arial"/>
          <w:sz w:val="20"/>
          <w:szCs w:val="20"/>
        </w:rPr>
      </w:pPr>
    </w:p>
    <w:p w14:paraId="62D71C87" w14:textId="77777777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D11F5">
        <w:rPr>
          <w:rFonts w:ascii="Arial" w:hAnsi="Arial" w:cs="Arial"/>
          <w:sz w:val="20"/>
          <w:szCs w:val="20"/>
        </w:rPr>
        <w:t>Szanowni Państwo,</w:t>
      </w:r>
    </w:p>
    <w:p w14:paraId="716E478C" w14:textId="77777777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EBBC444" w14:textId="15F55F07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D11F5">
        <w:rPr>
          <w:rFonts w:ascii="Arial" w:hAnsi="Arial" w:cs="Arial"/>
          <w:sz w:val="20"/>
          <w:szCs w:val="20"/>
        </w:rPr>
        <w:t xml:space="preserve">w związku z opublikowaniem </w:t>
      </w:r>
      <w:r>
        <w:rPr>
          <w:rFonts w:ascii="Arial" w:hAnsi="Arial" w:cs="Arial"/>
          <w:sz w:val="20"/>
          <w:szCs w:val="20"/>
        </w:rPr>
        <w:t xml:space="preserve">31 marca br. </w:t>
      </w:r>
      <w:r w:rsidRPr="007D11F5">
        <w:rPr>
          <w:rFonts w:ascii="Arial" w:hAnsi="Arial" w:cs="Arial"/>
          <w:sz w:val="20"/>
          <w:szCs w:val="20"/>
        </w:rPr>
        <w:t>nowej wersji projektu ustawy dotyczącej zmian w przepisach podatkowych (PIT, CIT oraz KKS), przedstawiamy Państwu podsumowanie planowanych zmian w obszarze cen transferowych.</w:t>
      </w:r>
    </w:p>
    <w:p w14:paraId="746528A9" w14:textId="77777777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7D5D1EE" w14:textId="4AEDA5C2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D11F5">
        <w:rPr>
          <w:rFonts w:ascii="Arial" w:hAnsi="Arial" w:cs="Arial"/>
          <w:sz w:val="20"/>
          <w:szCs w:val="20"/>
        </w:rPr>
        <w:t>Projekt</w:t>
      </w:r>
      <w:r w:rsidR="00455BB6">
        <w:rPr>
          <w:rFonts w:ascii="Arial" w:hAnsi="Arial" w:cs="Arial"/>
          <w:sz w:val="20"/>
          <w:szCs w:val="20"/>
        </w:rPr>
        <w:t xml:space="preserve"> nowelizacji przepisów</w:t>
      </w:r>
      <w:r w:rsidRPr="007D11F5">
        <w:rPr>
          <w:rFonts w:ascii="Arial" w:hAnsi="Arial" w:cs="Arial"/>
          <w:sz w:val="20"/>
          <w:szCs w:val="20"/>
        </w:rPr>
        <w:t xml:space="preserve"> wpisuje się w szerszy plan </w:t>
      </w:r>
      <w:proofErr w:type="spellStart"/>
      <w:r w:rsidRPr="007D11F5">
        <w:rPr>
          <w:rFonts w:ascii="Arial" w:hAnsi="Arial" w:cs="Arial"/>
          <w:sz w:val="20"/>
          <w:szCs w:val="20"/>
        </w:rPr>
        <w:t>deregulacyjny</w:t>
      </w:r>
      <w:proofErr w:type="spellEnd"/>
      <w:r w:rsidRPr="007D11F5">
        <w:rPr>
          <w:rFonts w:ascii="Arial" w:hAnsi="Arial" w:cs="Arial"/>
          <w:sz w:val="20"/>
          <w:szCs w:val="20"/>
        </w:rPr>
        <w:t xml:space="preserve"> i w założeniu ma na celu uproszczenie obowiązków podatników, ograniczenie formalności oraz zwiększenie przejrzystości przepisów. Rozwiązania w opinii Ministerstwa mają odpowiadać na postulaty zgłaszane przez przedsiębiorców i doradców podatkowych.</w:t>
      </w:r>
    </w:p>
    <w:p w14:paraId="10E37F17" w14:textId="77777777" w:rsidR="00FB3096" w:rsidRPr="007D11F5" w:rsidRDefault="00FB3096" w:rsidP="00FB309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28F50DA" w14:textId="77777777" w:rsidR="00FB3096" w:rsidRPr="007A4AA2" w:rsidRDefault="00FB3096" w:rsidP="00FB3096">
      <w:pPr>
        <w:spacing w:before="100" w:after="100" w:line="280" w:lineRule="atLeast"/>
        <w:jc w:val="both"/>
        <w:rPr>
          <w:rFonts w:ascii="Arial" w:hAnsi="Arial" w:cs="Arial"/>
          <w:b/>
          <w:iCs/>
          <w:color w:val="2F5496"/>
          <w:sz w:val="20"/>
          <w:szCs w:val="20"/>
        </w:rPr>
        <w:sectPr w:rsidR="00FB3096" w:rsidRPr="007A4AA2" w:rsidSect="00FB3096">
          <w:headerReference w:type="default" r:id="rId6"/>
          <w:footerReference w:type="default" r:id="rId7"/>
          <w:headerReference w:type="first" r:id="rId8"/>
          <w:footerReference w:type="first" r:id="rId9"/>
          <w:footnotePr>
            <w:numFmt w:val="chicago"/>
          </w:footnotePr>
          <w:pgSz w:w="11906" w:h="16838" w:code="9"/>
          <w:pgMar w:top="1797" w:right="1418" w:bottom="1418" w:left="1418" w:header="709" w:footer="23" w:gutter="0"/>
          <w:cols w:space="708"/>
          <w:titlePg/>
          <w:docGrid w:linePitch="360"/>
        </w:sectPr>
      </w:pPr>
      <w:r w:rsidRPr="00306016">
        <w:rPr>
          <w:rFonts w:ascii="Arial" w:hAnsi="Arial" w:cs="Arial"/>
          <w:sz w:val="20"/>
          <w:szCs w:val="20"/>
        </w:rPr>
        <w:t xml:space="preserve">Najważniejszą zmianą </w:t>
      </w:r>
      <w:r w:rsidRPr="007D11F5">
        <w:rPr>
          <w:rFonts w:ascii="Arial" w:hAnsi="Arial" w:cs="Arial"/>
          <w:sz w:val="20"/>
          <w:szCs w:val="20"/>
        </w:rPr>
        <w:t>w zakresie cen transferowych ma być</w:t>
      </w:r>
      <w:r w:rsidRPr="00306016">
        <w:rPr>
          <w:rFonts w:ascii="Arial" w:hAnsi="Arial" w:cs="Arial"/>
          <w:sz w:val="20"/>
          <w:szCs w:val="20"/>
        </w:rPr>
        <w:t xml:space="preserve"> umożliwienie podpisywania informacji TPR przez szerszy krąg pełnomocników (nie tylko </w:t>
      </w:r>
      <w:r w:rsidRPr="007D11F5">
        <w:rPr>
          <w:rFonts w:ascii="Arial" w:hAnsi="Arial" w:cs="Arial"/>
          <w:sz w:val="20"/>
          <w:szCs w:val="20"/>
        </w:rPr>
        <w:t>kierownika jednostki, czyli zarząd spółki, a także tzw. profesjonalnego pełnomocnika</w:t>
      </w:r>
      <w:r w:rsidRPr="00306016">
        <w:rPr>
          <w:rFonts w:ascii="Arial" w:hAnsi="Arial" w:cs="Arial"/>
          <w:sz w:val="20"/>
          <w:szCs w:val="20"/>
        </w:rPr>
        <w:t xml:space="preserve">), co </w:t>
      </w:r>
      <w:r w:rsidRPr="007D11F5">
        <w:rPr>
          <w:rFonts w:ascii="Arial" w:hAnsi="Arial" w:cs="Arial"/>
          <w:sz w:val="20"/>
          <w:szCs w:val="20"/>
        </w:rPr>
        <w:t xml:space="preserve">powinno </w:t>
      </w:r>
      <w:r w:rsidRPr="00306016">
        <w:rPr>
          <w:rFonts w:ascii="Arial" w:hAnsi="Arial" w:cs="Arial"/>
          <w:sz w:val="20"/>
          <w:szCs w:val="20"/>
        </w:rPr>
        <w:t>znacząco ułatwi</w:t>
      </w:r>
      <w:r w:rsidRPr="007D11F5">
        <w:rPr>
          <w:rFonts w:ascii="Arial" w:hAnsi="Arial" w:cs="Arial"/>
          <w:sz w:val="20"/>
          <w:szCs w:val="20"/>
        </w:rPr>
        <w:t>ć</w:t>
      </w:r>
      <w:r w:rsidRPr="00306016">
        <w:rPr>
          <w:rFonts w:ascii="Arial" w:hAnsi="Arial" w:cs="Arial"/>
          <w:sz w:val="20"/>
          <w:szCs w:val="20"/>
        </w:rPr>
        <w:t xml:space="preserve"> składanie dokumentów.</w:t>
      </w:r>
      <w:r w:rsidRPr="007D11F5">
        <w:rPr>
          <w:rFonts w:ascii="Arial" w:hAnsi="Arial" w:cs="Arial"/>
          <w:sz w:val="20"/>
          <w:szCs w:val="20"/>
        </w:rPr>
        <w:t xml:space="preserve"> </w:t>
      </w:r>
      <w:r w:rsidRPr="00306016">
        <w:rPr>
          <w:rFonts w:ascii="Arial" w:hAnsi="Arial" w:cs="Arial"/>
          <w:sz w:val="20"/>
          <w:szCs w:val="20"/>
        </w:rPr>
        <w:t xml:space="preserve">Projekt przenosi też oświadczenie o rynkowości cen transferowych z formularza TPR do lokalnej dokumentacji – nie będzie ono </w:t>
      </w:r>
      <w:r w:rsidRPr="007D11F5">
        <w:rPr>
          <w:rFonts w:ascii="Arial" w:hAnsi="Arial" w:cs="Arial"/>
          <w:sz w:val="20"/>
          <w:szCs w:val="20"/>
        </w:rPr>
        <w:t>przesyłane</w:t>
      </w:r>
      <w:r w:rsidRPr="00306016">
        <w:rPr>
          <w:rFonts w:ascii="Arial" w:hAnsi="Arial" w:cs="Arial"/>
          <w:sz w:val="20"/>
          <w:szCs w:val="20"/>
        </w:rPr>
        <w:t xml:space="preserve"> automatycznie do urzędu, lecz tylko na żądanie</w:t>
      </w:r>
      <w:r w:rsidRPr="007D11F5">
        <w:rPr>
          <w:rFonts w:ascii="Arial" w:hAnsi="Arial" w:cs="Arial"/>
          <w:sz w:val="20"/>
          <w:szCs w:val="20"/>
        </w:rPr>
        <w:t xml:space="preserve"> (jako element dokumentacji)</w:t>
      </w:r>
      <w:r w:rsidRPr="00306016">
        <w:rPr>
          <w:rFonts w:ascii="Arial" w:hAnsi="Arial" w:cs="Arial"/>
          <w:sz w:val="20"/>
          <w:szCs w:val="20"/>
        </w:rPr>
        <w:t xml:space="preserve">. Dodatkowo mikro- i mali przedsiębiorcy </w:t>
      </w:r>
      <w:r w:rsidRPr="007D11F5">
        <w:rPr>
          <w:rFonts w:ascii="Arial" w:hAnsi="Arial" w:cs="Arial"/>
          <w:sz w:val="20"/>
          <w:szCs w:val="20"/>
        </w:rPr>
        <w:t>powinni być</w:t>
      </w:r>
      <w:r w:rsidRPr="00306016">
        <w:rPr>
          <w:rFonts w:ascii="Arial" w:hAnsi="Arial" w:cs="Arial"/>
          <w:sz w:val="20"/>
          <w:szCs w:val="20"/>
        </w:rPr>
        <w:t xml:space="preserve"> zwolnieni z obowiązku raportowania wskaźników finansowych w TPR, co </w:t>
      </w:r>
      <w:r w:rsidRPr="007D11F5">
        <w:rPr>
          <w:rFonts w:ascii="Arial" w:hAnsi="Arial" w:cs="Arial"/>
          <w:sz w:val="20"/>
          <w:szCs w:val="20"/>
        </w:rPr>
        <w:t xml:space="preserve">nieznacznie </w:t>
      </w:r>
      <w:r w:rsidRPr="00306016">
        <w:rPr>
          <w:rFonts w:ascii="Arial" w:hAnsi="Arial" w:cs="Arial"/>
          <w:sz w:val="20"/>
          <w:szCs w:val="20"/>
        </w:rPr>
        <w:t>ograniczy ich obowiązki sprawozdawcze.</w:t>
      </w:r>
      <w:r w:rsidRPr="007D11F5">
        <w:rPr>
          <w:rFonts w:ascii="Arial" w:hAnsi="Arial" w:cs="Arial"/>
          <w:sz w:val="20"/>
          <w:szCs w:val="20"/>
        </w:rPr>
        <w:t xml:space="preserve"> </w:t>
      </w:r>
      <w:r w:rsidRPr="00306016">
        <w:rPr>
          <w:rFonts w:ascii="Arial" w:hAnsi="Arial" w:cs="Arial"/>
          <w:sz w:val="20"/>
          <w:szCs w:val="20"/>
        </w:rPr>
        <w:t xml:space="preserve">Doprecyzowano również zasady korekt cen transferowych, umożliwiając ich łatwiejsze stosowanie w transakcjach krajowych. Jednocześnie </w:t>
      </w:r>
      <w:r w:rsidRPr="007D11F5">
        <w:rPr>
          <w:rFonts w:ascii="Arial" w:hAnsi="Arial" w:cs="Arial"/>
          <w:sz w:val="20"/>
          <w:szCs w:val="20"/>
        </w:rPr>
        <w:t xml:space="preserve">w projekcie </w:t>
      </w:r>
      <w:r w:rsidRPr="00306016">
        <w:rPr>
          <w:rFonts w:ascii="Arial" w:hAnsi="Arial" w:cs="Arial"/>
          <w:sz w:val="20"/>
          <w:szCs w:val="20"/>
        </w:rPr>
        <w:t xml:space="preserve">zaostrzono odpowiedzialność karnoskarbową – kary </w:t>
      </w:r>
      <w:r w:rsidRPr="007D11F5">
        <w:rPr>
          <w:rFonts w:ascii="Arial" w:hAnsi="Arial" w:cs="Arial"/>
          <w:sz w:val="20"/>
          <w:szCs w:val="20"/>
        </w:rPr>
        <w:t>wyraźnie objąć mają</w:t>
      </w:r>
      <w:r w:rsidRPr="00306016">
        <w:rPr>
          <w:rFonts w:ascii="Arial" w:hAnsi="Arial" w:cs="Arial"/>
          <w:sz w:val="20"/>
          <w:szCs w:val="20"/>
        </w:rPr>
        <w:t xml:space="preserve"> także przypadki nieprawidłowo sporządzonej dokumentacji</w:t>
      </w:r>
      <w:r w:rsidRPr="007D11F5">
        <w:rPr>
          <w:rFonts w:ascii="Arial" w:hAnsi="Arial" w:cs="Arial"/>
          <w:sz w:val="20"/>
          <w:szCs w:val="20"/>
        </w:rPr>
        <w:t>, a nie jej brak.</w:t>
      </w:r>
      <w:r w:rsidRPr="00C017CB">
        <w:rPr>
          <w:rFonts w:ascii="Arial" w:hAnsi="Arial" w:cs="Arial"/>
          <w:b/>
          <w:iCs/>
          <w:color w:val="2F5496"/>
          <w:sz w:val="20"/>
          <w:szCs w:val="20"/>
        </w:rPr>
        <w:t xml:space="preserve"> </w:t>
      </w:r>
    </w:p>
    <w:p w14:paraId="4F1D7736" w14:textId="77777777" w:rsidR="00FB3096" w:rsidRPr="003458B0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75"/>
        <w:jc w:val="both"/>
        <w:textAlignment w:val="top"/>
        <w:rPr>
          <w:rFonts w:cs="Arial"/>
          <w:szCs w:val="20"/>
        </w:rPr>
        <w:sectPr w:rsidR="00FB3096" w:rsidRPr="003458B0" w:rsidSect="00FB3096">
          <w:footnotePr>
            <w:numFmt w:val="chicago"/>
          </w:footnotePr>
          <w:type w:val="continuous"/>
          <w:pgSz w:w="11906" w:h="16838" w:code="9"/>
          <w:pgMar w:top="1797" w:right="1418" w:bottom="1418" w:left="1418" w:header="709" w:footer="23" w:gutter="0"/>
          <w:cols w:num="2" w:space="708"/>
          <w:titlePg/>
          <w:docGrid w:linePitch="360"/>
        </w:sectPr>
      </w:pPr>
    </w:p>
    <w:p w14:paraId="38733F6B" w14:textId="77777777" w:rsidR="00FB3096" w:rsidRPr="00320572" w:rsidRDefault="00FB3096" w:rsidP="00FB3096">
      <w:pPr>
        <w:pStyle w:val="Akapitzlist"/>
        <w:tabs>
          <w:tab w:val="left" w:pos="930"/>
        </w:tabs>
        <w:spacing w:after="200" w:line="280" w:lineRule="atLeast"/>
        <w:ind w:left="0" w:right="75"/>
        <w:jc w:val="both"/>
        <w:textAlignment w:val="top"/>
        <w:rPr>
          <w:rFonts w:cs="Arial"/>
          <w:szCs w:val="20"/>
        </w:rPr>
        <w:sectPr w:rsidR="00FB3096" w:rsidRPr="00320572" w:rsidSect="00FB3096">
          <w:footnotePr>
            <w:numFmt w:val="chicago"/>
          </w:footnotePr>
          <w:type w:val="continuous"/>
          <w:pgSz w:w="11906" w:h="16838" w:code="9"/>
          <w:pgMar w:top="1440" w:right="1080" w:bottom="1440" w:left="1080" w:header="709" w:footer="23" w:gutter="0"/>
          <w:cols w:num="2" w:space="708"/>
          <w:titlePg/>
          <w:docGrid w:linePitch="360"/>
        </w:sectPr>
      </w:pPr>
    </w:p>
    <w:p w14:paraId="3854AC76" w14:textId="77777777" w:rsidR="00FB3096" w:rsidRPr="007A4AA2" w:rsidRDefault="00FB3096" w:rsidP="00FB3096">
      <w:pPr>
        <w:ind w:left="708"/>
        <w:rPr>
          <w:rFonts w:ascii="Arial" w:hAnsi="Arial" w:cs="Arial"/>
          <w:sz w:val="20"/>
          <w:szCs w:val="20"/>
        </w:rPr>
      </w:pPr>
      <w:r w:rsidRPr="007A4AA2">
        <w:rPr>
          <w:rFonts w:ascii="Arial" w:hAnsi="Arial" w:cs="Arial"/>
          <w:sz w:val="20"/>
          <w:szCs w:val="20"/>
        </w:rPr>
        <w:lastRenderedPageBreak/>
        <w:t>Poniżej prezentujemy zestawienie kluczowych zmian wraz z ich praktycznym znaczeniem:</w:t>
      </w:r>
    </w:p>
    <w:p w14:paraId="2368F460" w14:textId="77777777" w:rsidR="00FB3096" w:rsidRPr="007A4AA2" w:rsidRDefault="00FB3096" w:rsidP="00FB3096">
      <w:pPr>
        <w:rPr>
          <w:rFonts w:ascii="Arial" w:hAnsi="Arial" w:cs="Arial"/>
          <w:sz w:val="20"/>
          <w:szCs w:val="20"/>
        </w:rPr>
      </w:pPr>
    </w:p>
    <w:tbl>
      <w:tblPr>
        <w:tblW w:w="13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3828"/>
        <w:gridCol w:w="3827"/>
      </w:tblGrid>
      <w:tr w:rsidR="00FB3096" w:rsidRPr="007A4AA2" w14:paraId="45FB42F8" w14:textId="77777777" w:rsidTr="00D82CB2">
        <w:trPr>
          <w:trHeight w:val="3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C01"/>
            <w:vAlign w:val="center"/>
            <w:hideMark/>
          </w:tcPr>
          <w:p w14:paraId="0C73C19F" w14:textId="77777777" w:rsidR="00FB3096" w:rsidRPr="007A4AA2" w:rsidRDefault="00FB3096" w:rsidP="00D82CB2">
            <w:pPr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</w:pPr>
            <w:r w:rsidRPr="007A4AA2"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  <w:t>Obszar zmiany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C01"/>
            <w:vAlign w:val="center"/>
            <w:hideMark/>
          </w:tcPr>
          <w:p w14:paraId="4FD7B3D2" w14:textId="77777777" w:rsidR="00FB3096" w:rsidRPr="007A4AA2" w:rsidRDefault="00FB3096" w:rsidP="00D82CB2">
            <w:pPr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</w:pPr>
            <w:r w:rsidRPr="007A4AA2"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  <w:t>Stan obecny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C01"/>
            <w:vAlign w:val="center"/>
            <w:hideMark/>
          </w:tcPr>
          <w:p w14:paraId="211A6EEF" w14:textId="77777777" w:rsidR="00FB3096" w:rsidRPr="007A4AA2" w:rsidRDefault="00FB3096" w:rsidP="00D82CB2">
            <w:pPr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</w:pPr>
            <w:r w:rsidRPr="007A4AA2"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  <w:t>Proponowana zmiana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8C01"/>
            <w:vAlign w:val="center"/>
            <w:hideMark/>
          </w:tcPr>
          <w:p w14:paraId="0E1E9308" w14:textId="77777777" w:rsidR="00FB3096" w:rsidRPr="007A4AA2" w:rsidRDefault="00FB3096" w:rsidP="00D82CB2">
            <w:pPr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</w:pPr>
            <w:r w:rsidRPr="007A4AA2">
              <w:rPr>
                <w:rFonts w:ascii="Arial" w:hAnsi="Arial" w:cs="Arial"/>
                <w:b/>
                <w:bCs/>
                <w:color w:val="215E99"/>
                <w:sz w:val="20"/>
                <w:szCs w:val="20"/>
              </w:rPr>
              <w:t>Efekt dla podatnika</w:t>
            </w:r>
          </w:p>
        </w:tc>
      </w:tr>
      <w:tr w:rsidR="00FB3096" w:rsidRPr="007A4AA2" w14:paraId="5EEC3CBC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C40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Podpisywanie TPR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2A05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Tylko kierownik jednostki lub profesjonalny pełnomocnik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C255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Możliwość podpisu przez pełnomocnika z UPL-1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F96A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Większa elastyczność, uproszczenie procedur</w:t>
            </w:r>
          </w:p>
        </w:tc>
      </w:tr>
      <w:tr w:rsidR="00FB3096" w:rsidRPr="007A4AA2" w14:paraId="5278BA2D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159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Oświadczenie TP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E022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Składane w ramach TPR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592A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Przeniesione do lokalnej dokumentacji (nieprzesyłane automatycznie)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772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Teoretycznie mniej formalności i mniejsze ryzyko błędów</w:t>
            </w:r>
          </w:p>
        </w:tc>
      </w:tr>
      <w:tr w:rsidR="00FB3096" w:rsidRPr="007A4AA2" w14:paraId="30AFDC46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169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Dokumentacja lokalna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5D06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Bez obowiązkowego oświadczenia jako elementu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56AB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Oświadczenie jako część dokumentacji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AD66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Większa odpowiedzialność, konieczność staranności przy sporządzaniu dokumentacji</w:t>
            </w:r>
          </w:p>
        </w:tc>
      </w:tr>
      <w:tr w:rsidR="00FB3096" w:rsidRPr="007A4AA2" w14:paraId="23DC37BE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4870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Świadczenia nieodpłatne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EDD2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Niejasne zasady oceny rynkowości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51CE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Doprecyzowanie – uznanie za rynkowe przy wykazaniu przychodu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0E5F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Większa pewność interpretacyjna</w:t>
            </w:r>
          </w:p>
        </w:tc>
      </w:tr>
      <w:tr w:rsidR="00FB3096" w:rsidRPr="007A4AA2" w14:paraId="3CA6D61B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6B5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Obowiązki Micro i małych przedsiębiorstw (TPR)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0EB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Konieczność raportowania wskaźników finansowych w Informacji TPR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82E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Zwolnienie z raportowania wskaźników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9A44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Ograniczenie obciążeń sprawozdawczych</w:t>
            </w:r>
          </w:p>
        </w:tc>
      </w:tr>
      <w:tr w:rsidR="00FB3096" w:rsidRPr="007A4AA2" w14:paraId="01F7C2B0" w14:textId="77777777" w:rsidTr="00D82CB2">
        <w:trPr>
          <w:trHeight w:val="829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483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Korekty cen transferowych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319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Wymóg podstawy prawnej wymiany informacji także dla podmiotów krajowych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0A4D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Wymóg tylko dla transakcji zagranicznych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D4E2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Ułatwienie korekt krajowych</w:t>
            </w:r>
          </w:p>
        </w:tc>
      </w:tr>
      <w:tr w:rsidR="00FB3096" w:rsidRPr="007A4AA2" w14:paraId="4593083E" w14:textId="77777777" w:rsidTr="00D82CB2">
        <w:trPr>
          <w:trHeight w:val="5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92A9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Sankcje KKS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420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Kary za brak dokumentacji lokalnej lub dokumentacji grupowej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E273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Rozszerzenie na błędną dokumentację i brak oświadczenia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354F" w14:textId="77777777" w:rsidR="00FB3096" w:rsidRPr="007A4AA2" w:rsidRDefault="00FB3096" w:rsidP="00D82C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AA2">
              <w:rPr>
                <w:rFonts w:ascii="Arial" w:hAnsi="Arial" w:cs="Arial"/>
                <w:color w:val="000000"/>
                <w:sz w:val="20"/>
                <w:szCs w:val="20"/>
              </w:rPr>
              <w:t>Większa odpowiedzialność, konieczność staranności</w:t>
            </w:r>
          </w:p>
        </w:tc>
      </w:tr>
    </w:tbl>
    <w:p w14:paraId="34B0059F" w14:textId="77777777" w:rsidR="00FB3096" w:rsidRPr="007A4AA2" w:rsidRDefault="00FB3096" w:rsidP="00FB3096">
      <w:pPr>
        <w:pStyle w:val="Akapitzlist"/>
        <w:tabs>
          <w:tab w:val="left" w:pos="930"/>
        </w:tabs>
        <w:spacing w:line="280" w:lineRule="atLeast"/>
        <w:ind w:left="0" w:right="75"/>
        <w:jc w:val="both"/>
        <w:textAlignment w:val="top"/>
        <w:rPr>
          <w:rFonts w:cs="Arial"/>
          <w:szCs w:val="20"/>
          <w:u w:val="single"/>
        </w:rPr>
      </w:pPr>
    </w:p>
    <w:p w14:paraId="5FD46918" w14:textId="77777777" w:rsidR="00FB3096" w:rsidRPr="007A4AA2" w:rsidRDefault="00FB3096" w:rsidP="00FB3096">
      <w:pPr>
        <w:pStyle w:val="Akapitzlist"/>
        <w:tabs>
          <w:tab w:val="left" w:pos="930"/>
        </w:tabs>
        <w:spacing w:line="280" w:lineRule="atLeast"/>
        <w:ind w:left="0" w:right="75"/>
        <w:jc w:val="both"/>
        <w:textAlignment w:val="top"/>
        <w:rPr>
          <w:rFonts w:cs="Arial"/>
          <w:szCs w:val="20"/>
        </w:rPr>
      </w:pPr>
    </w:p>
    <w:p w14:paraId="72D0B0BB" w14:textId="77777777" w:rsidR="00FB3096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75"/>
        <w:jc w:val="both"/>
        <w:textAlignment w:val="top"/>
        <w:rPr>
          <w:rFonts w:cs="Arial"/>
          <w:szCs w:val="20"/>
        </w:rPr>
      </w:pPr>
    </w:p>
    <w:p w14:paraId="4B18EF2B" w14:textId="77777777" w:rsidR="00FB3096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75"/>
        <w:jc w:val="both"/>
        <w:textAlignment w:val="top"/>
        <w:rPr>
          <w:rFonts w:cs="Arial"/>
          <w:szCs w:val="20"/>
        </w:rPr>
      </w:pPr>
    </w:p>
    <w:p w14:paraId="169C1A91" w14:textId="77777777" w:rsidR="00FB3096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75"/>
        <w:jc w:val="both"/>
        <w:textAlignment w:val="top"/>
        <w:rPr>
          <w:rFonts w:cs="Arial"/>
          <w:szCs w:val="20"/>
        </w:rPr>
      </w:pPr>
    </w:p>
    <w:p w14:paraId="7DB3ED43" w14:textId="77777777" w:rsidR="00FB3096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75"/>
        <w:jc w:val="both"/>
        <w:textAlignment w:val="top"/>
        <w:rPr>
          <w:rFonts w:cs="Arial"/>
          <w:szCs w:val="20"/>
        </w:rPr>
      </w:pPr>
    </w:p>
    <w:p w14:paraId="7AA21334" w14:textId="77777777" w:rsidR="00FB3096" w:rsidRDefault="00FB3096" w:rsidP="00FB3096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FF"/>
          <w:sz w:val="20"/>
          <w:szCs w:val="20"/>
        </w:rPr>
        <w:sectPr w:rsidR="00FB3096" w:rsidSect="00FB3096">
          <w:footnotePr>
            <w:numFmt w:val="chicago"/>
          </w:footnotePr>
          <w:pgSz w:w="16838" w:h="11906" w:orient="landscape" w:code="9"/>
          <w:pgMar w:top="1418" w:right="1560" w:bottom="1418" w:left="567" w:header="709" w:footer="23" w:gutter="0"/>
          <w:cols w:space="708"/>
          <w:titlePg/>
          <w:docGrid w:linePitch="360"/>
        </w:sectPr>
      </w:pPr>
    </w:p>
    <w:p w14:paraId="36C7B970" w14:textId="77777777" w:rsidR="00FB3096" w:rsidRPr="00340786" w:rsidRDefault="00FB3096" w:rsidP="00FB3096">
      <w:pPr>
        <w:ind w:right="-4538"/>
        <w:rPr>
          <w:rFonts w:ascii="Arial" w:hAnsi="Arial" w:cs="Arial"/>
          <w:sz w:val="20"/>
          <w:szCs w:val="20"/>
        </w:rPr>
      </w:pPr>
      <w:r w:rsidRPr="00340786">
        <w:rPr>
          <w:rFonts w:ascii="Arial" w:hAnsi="Arial" w:cs="Arial"/>
          <w:sz w:val="20"/>
          <w:szCs w:val="20"/>
        </w:rPr>
        <w:lastRenderedPageBreak/>
        <w:t>Podsumowując, proponowane zmiany należy ocenić umiarkowanie pozytywnie – wprowadzają pewne uproszczenia, szczególnie dla małych i mikro podmiotów, oraz porządkują wybrane obszary budzące dotychczas wątpliwości interpretacyjne. Nie stanowią natomiast przełomu i nie ograniczają ciężaru odpowiedzialności za rynkowość cen stosowanych przez podatników w transakcjach z podmiotami powiązanymi.</w:t>
      </w:r>
    </w:p>
    <w:p w14:paraId="2721C7CB" w14:textId="77777777" w:rsidR="00FB3096" w:rsidRPr="00340786" w:rsidRDefault="00FB3096" w:rsidP="00FB3096">
      <w:pPr>
        <w:ind w:right="-4538"/>
        <w:rPr>
          <w:rFonts w:ascii="Arial" w:hAnsi="Arial" w:cs="Arial"/>
          <w:sz w:val="20"/>
          <w:szCs w:val="20"/>
        </w:rPr>
      </w:pPr>
    </w:p>
    <w:p w14:paraId="55FA82DF" w14:textId="77777777" w:rsidR="00FB3096" w:rsidRPr="00340786" w:rsidRDefault="00FB3096" w:rsidP="00FB3096">
      <w:pPr>
        <w:ind w:right="-4538"/>
        <w:rPr>
          <w:rFonts w:ascii="Arial" w:hAnsi="Arial" w:cs="Arial"/>
          <w:sz w:val="20"/>
          <w:szCs w:val="20"/>
        </w:rPr>
      </w:pPr>
      <w:r w:rsidRPr="00340786">
        <w:rPr>
          <w:rFonts w:ascii="Arial" w:hAnsi="Arial" w:cs="Arial"/>
          <w:sz w:val="20"/>
          <w:szCs w:val="20"/>
        </w:rPr>
        <w:t>Nowe regulacje mają mieć zastosowanie do rozliczeń za rok podatkowy rozpoczynający się po 31 grudnia 2025 r.</w:t>
      </w:r>
    </w:p>
    <w:p w14:paraId="067B93D6" w14:textId="77777777" w:rsidR="00FB3096" w:rsidRDefault="00FB3096" w:rsidP="00FB3096">
      <w:pPr>
        <w:ind w:right="-4538"/>
        <w:rPr>
          <w:rFonts w:ascii="Arial" w:hAnsi="Arial" w:cs="Arial"/>
          <w:sz w:val="20"/>
          <w:szCs w:val="20"/>
        </w:rPr>
      </w:pPr>
    </w:p>
    <w:p w14:paraId="4DE31EA8" w14:textId="77777777" w:rsidR="00FB3096" w:rsidRDefault="00FB3096" w:rsidP="00FB3096">
      <w:pPr>
        <w:ind w:right="-4538"/>
        <w:rPr>
          <w:rFonts w:ascii="Arial" w:hAnsi="Arial" w:cs="Arial"/>
          <w:sz w:val="20"/>
          <w:szCs w:val="20"/>
        </w:rPr>
      </w:pPr>
    </w:p>
    <w:p w14:paraId="1D1BE96D" w14:textId="77777777" w:rsidR="00FB3096" w:rsidRPr="009E21F7" w:rsidRDefault="00FB3096" w:rsidP="00FB3096">
      <w:pPr>
        <w:pStyle w:val="Akapitzlist"/>
        <w:tabs>
          <w:tab w:val="left" w:pos="930"/>
        </w:tabs>
        <w:spacing w:before="100" w:after="100" w:line="280" w:lineRule="atLeast"/>
        <w:ind w:left="0" w:right="-4538"/>
        <w:jc w:val="both"/>
        <w:textAlignment w:val="top"/>
        <w:rPr>
          <w:rFonts w:cs="Arial"/>
          <w:szCs w:val="20"/>
        </w:rPr>
      </w:pPr>
      <w:r w:rsidRPr="003458B0">
        <w:rPr>
          <w:rFonts w:cs="Arial"/>
          <w:szCs w:val="20"/>
        </w:rPr>
        <w:t>Jeśli są Państwo zainteresowani uzyskaniem dodatkowych informacji, prosimy o kontakt</w:t>
      </w:r>
      <w:r>
        <w:rPr>
          <w:rFonts w:cs="Arial"/>
          <w:szCs w:val="20"/>
        </w:rPr>
        <w:t>.</w:t>
      </w:r>
    </w:p>
    <w:tbl>
      <w:tblPr>
        <w:tblW w:w="6346" w:type="dxa"/>
        <w:tblLook w:val="04A0" w:firstRow="1" w:lastRow="0" w:firstColumn="1" w:lastColumn="0" w:noHBand="0" w:noVBand="1"/>
      </w:tblPr>
      <w:tblGrid>
        <w:gridCol w:w="3085"/>
        <w:gridCol w:w="3261"/>
      </w:tblGrid>
      <w:tr w:rsidR="00794303" w:rsidRPr="009741D7" w14:paraId="0973BF99" w14:textId="77777777" w:rsidTr="0085444B">
        <w:tc>
          <w:tcPr>
            <w:tcW w:w="3085" w:type="dxa"/>
          </w:tcPr>
          <w:p w14:paraId="52D6BEA2" w14:textId="13B054E2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b/>
                <w:color w:val="1F497D"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C39EF4F" wp14:editId="582EBA5D">
                      <wp:simplePos x="0" y="0"/>
                      <wp:positionH relativeFrom="column">
                        <wp:posOffset>-62231</wp:posOffset>
                      </wp:positionH>
                      <wp:positionV relativeFrom="paragraph">
                        <wp:posOffset>153035</wp:posOffset>
                      </wp:positionV>
                      <wp:extent cx="0" cy="1343025"/>
                      <wp:effectExtent l="0" t="0" r="38100" b="28575"/>
                      <wp:wrapNone/>
                      <wp:docPr id="18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343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860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AFDF5" id="Łącznik prosty 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4.9pt,12.05pt" to="-4.9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" strokecolor="#ff8601">
                      <o:lock v:ext="edit" shapetype="f"/>
                    </v:line>
                  </w:pict>
                </mc:Fallback>
              </mc:AlternateContent>
            </w:r>
          </w:p>
          <w:p w14:paraId="135C23FF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9741D7">
              <w:rPr>
                <w:rFonts w:ascii="Arial" w:eastAsia="Calibri" w:hAnsi="Arial" w:cs="Arial"/>
                <w:b/>
                <w:color w:val="1F497D"/>
                <w:sz w:val="20"/>
                <w:szCs w:val="18"/>
              </w:rPr>
              <w:t>Jacek Dobrucki</w:t>
            </w:r>
          </w:p>
          <w:p w14:paraId="50DDAAA1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9741D7">
              <w:rPr>
                <w:rFonts w:ascii="Arial" w:eastAsia="Calibri" w:hAnsi="Arial" w:cs="Arial"/>
                <w:sz w:val="20"/>
                <w:szCs w:val="20"/>
              </w:rPr>
              <w:t>Partner</w:t>
            </w:r>
          </w:p>
          <w:p w14:paraId="62E7B6C8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9741D7">
              <w:rPr>
                <w:rFonts w:ascii="Arial" w:eastAsia="Calibri" w:hAnsi="Arial" w:cs="Arial"/>
                <w:sz w:val="20"/>
                <w:szCs w:val="20"/>
              </w:rPr>
              <w:t>Doradca podatkowy nr 10129</w:t>
            </w:r>
          </w:p>
          <w:p w14:paraId="6E5BFDC1" w14:textId="77777777" w:rsidR="00794303" w:rsidRPr="009741D7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9741D7">
              <w:rPr>
                <w:rFonts w:ascii="Arial" w:eastAsia="Calibri" w:hAnsi="Arial" w:cs="Arial"/>
                <w:b/>
                <w:color w:val="FF8601"/>
                <w:sz w:val="20"/>
                <w:szCs w:val="20"/>
              </w:rPr>
              <w:br/>
            </w:r>
            <w:r w:rsidRPr="009741D7">
              <w:rPr>
                <w:rFonts w:ascii="Arial" w:eastAsia="Calibri" w:hAnsi="Arial" w:cs="Arial"/>
                <w:color w:val="000000"/>
                <w:sz w:val="20"/>
                <w:szCs w:val="20"/>
              </w:rPr>
              <w:t>+48 (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71) 79 25 992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>+48 600 768 526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  <w:r w:rsidRPr="009741D7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  <w:r w:rsidRPr="009741D7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9741D7">
                <w:rPr>
                  <w:rStyle w:val="Hipercze"/>
                  <w:rFonts w:ascii="Arial" w:eastAsia="Calibri" w:hAnsi="Arial" w:cs="Arial"/>
                  <w:sz w:val="16"/>
                  <w:szCs w:val="16"/>
                </w:rPr>
                <w:t>jacek.dobrucki@dmstax.com</w:t>
              </w:r>
            </w:hyperlink>
            <w:r w:rsidRPr="009741D7">
              <w:rPr>
                <w:rFonts w:ascii="Arial" w:eastAsia="Calibri" w:hAnsi="Arial" w:cs="Arial"/>
                <w:color w:val="0000FF"/>
                <w:sz w:val="16"/>
                <w:szCs w:val="16"/>
              </w:rPr>
              <w:tab/>
            </w:r>
          </w:p>
        </w:tc>
        <w:tc>
          <w:tcPr>
            <w:tcW w:w="3261" w:type="dxa"/>
          </w:tcPr>
          <w:p w14:paraId="6C29675A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b/>
                <w:color w:val="1F497D"/>
                <w:sz w:val="20"/>
                <w:szCs w:val="18"/>
                <w:lang w:eastAsia="en-US"/>
              </w:rPr>
            </w:pPr>
          </w:p>
          <w:p w14:paraId="0B6EEB20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1F497D"/>
                <w:sz w:val="20"/>
                <w:szCs w:val="18"/>
                <w:lang w:eastAsia="en-US"/>
              </w:rPr>
              <w:t>Daniel Oleksyk</w:t>
            </w:r>
            <w:r w:rsidRPr="009741D7">
              <w:rPr>
                <w:rFonts w:ascii="Arial" w:eastAsia="Calibri" w:hAnsi="Arial" w:cs="Arial"/>
                <w:color w:val="1F497D"/>
                <w:sz w:val="20"/>
                <w:szCs w:val="18"/>
                <w:lang w:eastAsia="en-US"/>
              </w:rPr>
              <w:t xml:space="preserve"> </w:t>
            </w:r>
            <w:r w:rsidRPr="009741D7">
              <w:rPr>
                <w:rFonts w:ascii="Arial" w:eastAsia="Calibri" w:hAnsi="Arial" w:cs="Arial"/>
                <w:sz w:val="20"/>
                <w:szCs w:val="18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18"/>
                <w:lang w:eastAsia="en-US"/>
              </w:rPr>
              <w:t>Specjalista ds. cen transferowych</w:t>
            </w:r>
            <w:r w:rsidRPr="009741D7">
              <w:rPr>
                <w:rFonts w:ascii="Arial" w:eastAsia="Calibri" w:hAnsi="Arial" w:cs="Arial"/>
                <w:sz w:val="20"/>
                <w:szCs w:val="18"/>
                <w:lang w:eastAsia="en-US"/>
              </w:rPr>
              <w:t xml:space="preserve"> </w:t>
            </w:r>
          </w:p>
          <w:p w14:paraId="393ECED1" w14:textId="77777777" w:rsidR="00794303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18"/>
                <w:lang w:eastAsia="en-US"/>
              </w:rPr>
            </w:pPr>
          </w:p>
          <w:p w14:paraId="3990F780" w14:textId="77777777" w:rsidR="00794303" w:rsidRPr="009E21F7" w:rsidRDefault="00794303" w:rsidP="00D82CB2">
            <w:pPr>
              <w:spacing w:line="280" w:lineRule="atLeast"/>
              <w:rPr>
                <w:rFonts w:ascii="Arial" w:eastAsia="Calibri" w:hAnsi="Arial" w:cs="Arial"/>
                <w:sz w:val="20"/>
                <w:szCs w:val="18"/>
                <w:lang w:eastAsia="en-US"/>
              </w:rPr>
            </w:pPr>
            <w:r w:rsidRPr="009741D7">
              <w:rPr>
                <w:rFonts w:ascii="Arial" w:eastAsia="Calibri" w:hAnsi="Arial" w:cs="Arial"/>
                <w:sz w:val="20"/>
                <w:szCs w:val="18"/>
                <w:lang w:eastAsia="en-US"/>
              </w:rPr>
              <w:br/>
            </w:r>
            <w:r w:rsidRPr="009741D7">
              <w:rPr>
                <w:rFonts w:ascii="Arial" w:eastAsia="Calibri" w:hAnsi="Arial" w:cs="Arial"/>
                <w:color w:val="000000"/>
                <w:sz w:val="20"/>
                <w:szCs w:val="20"/>
              </w:rPr>
              <w:t>+48 (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71) 79 25 992</w:t>
            </w:r>
            <w:r w:rsidRPr="009741D7">
              <w:rPr>
                <w:rFonts w:ascii="Arial" w:eastAsia="Calibri" w:hAnsi="Arial" w:cs="Arial"/>
                <w:sz w:val="20"/>
                <w:szCs w:val="18"/>
                <w:lang w:eastAsia="en-US"/>
              </w:rPr>
              <w:br/>
            </w:r>
            <w:r w:rsidRPr="00BB296D">
              <w:rPr>
                <w:rFonts w:ascii="Arial" w:eastAsia="Calibri" w:hAnsi="Arial" w:cs="Arial"/>
                <w:color w:val="000000"/>
                <w:sz w:val="20"/>
                <w:szCs w:val="20"/>
              </w:rPr>
              <w:t>+48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 512 080 576</w:t>
            </w:r>
            <w:r w:rsidRPr="00BB296D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hyperlink r:id="rId11" w:history="1">
              <w:r w:rsidRPr="002E6FB7">
                <w:rPr>
                  <w:rStyle w:val="Hipercze"/>
                  <w:rFonts w:ascii="Arial" w:eastAsiaTheme="majorEastAsia" w:hAnsi="Arial" w:cs="Arial"/>
                  <w:sz w:val="16"/>
                  <w:szCs w:val="16"/>
                </w:rPr>
                <w:t>daniel.oleksyk@dmstax.com</w:t>
              </w:r>
            </w:hyperlink>
            <w:r w:rsidRPr="009741D7">
              <w:rPr>
                <w:rFonts w:ascii="Arial" w:eastAsia="Calibri" w:hAnsi="Arial" w:cs="Arial"/>
                <w:sz w:val="20"/>
                <w:szCs w:val="18"/>
                <w:lang w:eastAsia="en-US"/>
              </w:rPr>
              <w:br/>
            </w:r>
          </w:p>
        </w:tc>
      </w:tr>
    </w:tbl>
    <w:p w14:paraId="3889F8BF" w14:textId="77777777" w:rsidR="00FB3096" w:rsidRPr="00340786" w:rsidRDefault="00FB3096" w:rsidP="00FB3096">
      <w:pPr>
        <w:ind w:right="-4538"/>
        <w:rPr>
          <w:rFonts w:ascii="Arial" w:hAnsi="Arial" w:cs="Arial"/>
          <w:sz w:val="20"/>
          <w:szCs w:val="20"/>
        </w:rPr>
      </w:pPr>
    </w:p>
    <w:p w14:paraId="1161E3A8" w14:textId="77777777" w:rsidR="00303F7A" w:rsidRDefault="00303F7A"/>
    <w:sectPr w:rsidR="00303F7A" w:rsidSect="00FB3096">
      <w:footnotePr>
        <w:numFmt w:val="chicago"/>
      </w:footnotePr>
      <w:pgSz w:w="11906" w:h="16838" w:code="9"/>
      <w:pgMar w:top="1797" w:right="1418" w:bottom="1418" w:left="1418" w:header="709" w:footer="23" w:gutter="0"/>
      <w:cols w:num="2"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A29" w14:textId="77777777" w:rsidR="005D50BA" w:rsidRDefault="005D50BA">
      <w:r>
        <w:separator/>
      </w:r>
    </w:p>
  </w:endnote>
  <w:endnote w:type="continuationSeparator" w:id="0">
    <w:p w14:paraId="11A7F993" w14:textId="77777777" w:rsidR="005D50BA" w:rsidRDefault="005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1753"/>
      <w:gridCol w:w="1826"/>
    </w:tblGrid>
    <w:tr w:rsidR="00FB3096" w:rsidRPr="00F24A66" w14:paraId="6CFD4404" w14:textId="77777777" w:rsidTr="001C394A">
      <w:trPr>
        <w:trHeight w:val="360"/>
      </w:trPr>
      <w:tc>
        <w:tcPr>
          <w:tcW w:w="9249" w:type="dxa"/>
          <w:gridSpan w:val="3"/>
          <w:vAlign w:val="bottom"/>
        </w:tcPr>
        <w:p w14:paraId="59249F39" w14:textId="77777777" w:rsidR="00FB3096" w:rsidRPr="00F24A6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</w:tr>
    <w:tr w:rsidR="00FB3096" w:rsidRPr="00F24A66" w14:paraId="5033335E" w14:textId="77777777" w:rsidTr="001C394A">
      <w:trPr>
        <w:trHeight w:val="360"/>
      </w:trPr>
      <w:tc>
        <w:tcPr>
          <w:tcW w:w="5670" w:type="dxa"/>
        </w:tcPr>
        <w:p w14:paraId="4B274663" w14:textId="77777777" w:rsidR="00FB3096" w:rsidRPr="00F24A66" w:rsidRDefault="00FB3096" w:rsidP="00B25956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Spółka jest wpisana do Krajowego Rejestru Sądowego prowadzonego przez Sąd </w:t>
          </w:r>
          <w:r>
            <w:rPr>
              <w:rFonts w:ascii="Arial" w:hAnsi="Arial" w:cs="Arial"/>
              <w:sz w:val="14"/>
              <w:szCs w:val="14"/>
            </w:rPr>
            <w:br/>
            <w:t>Rejonowy dla Wrocławia-Fabrycznej we Wrocławiu VI Wydział Gospodarczy KRS. Kapitał zakładowy wynosi 50.000 zł i jest w pełni opłacony.</w:t>
          </w:r>
        </w:p>
      </w:tc>
      <w:tc>
        <w:tcPr>
          <w:tcW w:w="1753" w:type="dxa"/>
          <w:vAlign w:val="bottom"/>
        </w:tcPr>
        <w:p w14:paraId="3CC42466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Zarząd: </w:t>
          </w:r>
        </w:p>
        <w:p w14:paraId="4BB52E20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Jacek Dobrucki</w:t>
          </w:r>
        </w:p>
        <w:p w14:paraId="00B77000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Henryk Suchecki</w:t>
          </w:r>
        </w:p>
        <w:p w14:paraId="18505278" w14:textId="77777777" w:rsidR="00FB3096" w:rsidRPr="00F24A6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26" w:type="dxa"/>
          <w:vAlign w:val="bottom"/>
        </w:tcPr>
        <w:p w14:paraId="5C788E59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KRS 0000231073</w:t>
          </w:r>
        </w:p>
        <w:p w14:paraId="17F9DFFD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REGON 020041354</w:t>
          </w:r>
        </w:p>
        <w:p w14:paraId="68129B10" w14:textId="77777777" w:rsidR="00FB309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NIP 894-28-25-006</w:t>
          </w:r>
        </w:p>
        <w:p w14:paraId="2CD3B0D2" w14:textId="77777777" w:rsidR="00FB3096" w:rsidRPr="00F24A66" w:rsidRDefault="00FB3096" w:rsidP="001C394A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</w:tr>
  </w:tbl>
  <w:p w14:paraId="57467723" w14:textId="77777777" w:rsidR="00FB3096" w:rsidRDefault="00FB3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1753"/>
      <w:gridCol w:w="1826"/>
    </w:tblGrid>
    <w:tr w:rsidR="00FB3096" w:rsidRPr="00F24A66" w14:paraId="6A26D19D" w14:textId="77777777" w:rsidTr="00B25956">
      <w:trPr>
        <w:trHeight w:val="360"/>
      </w:trPr>
      <w:tc>
        <w:tcPr>
          <w:tcW w:w="9249" w:type="dxa"/>
          <w:gridSpan w:val="3"/>
          <w:vAlign w:val="bottom"/>
        </w:tcPr>
        <w:p w14:paraId="4F437686" w14:textId="77777777" w:rsidR="00FB3096" w:rsidRPr="00F24A6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</w:tr>
    <w:tr w:rsidR="00FB3096" w:rsidRPr="00F24A66" w14:paraId="7B6E0D64" w14:textId="77777777" w:rsidTr="00B25956">
      <w:trPr>
        <w:trHeight w:val="360"/>
      </w:trPr>
      <w:tc>
        <w:tcPr>
          <w:tcW w:w="5670" w:type="dxa"/>
        </w:tcPr>
        <w:p w14:paraId="6E445331" w14:textId="77777777" w:rsidR="00FB3096" w:rsidRPr="00F24A66" w:rsidRDefault="00FB3096" w:rsidP="00B25956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Spółka jest wpisana do Krajowego Rejestru Sądowego prowadzonego przez Sąd </w:t>
          </w:r>
          <w:r>
            <w:rPr>
              <w:rFonts w:ascii="Arial" w:hAnsi="Arial" w:cs="Arial"/>
              <w:sz w:val="14"/>
              <w:szCs w:val="14"/>
            </w:rPr>
            <w:br/>
            <w:t>Rejonowy dla Wrocławia-Fabrycznej we Wrocławiu VI Wydział Gospodarczy KRS. Kapitał zakładowy wynosi 50.000 zł i jest w pełni opłacony.</w:t>
          </w:r>
        </w:p>
      </w:tc>
      <w:tc>
        <w:tcPr>
          <w:tcW w:w="1753" w:type="dxa"/>
          <w:vAlign w:val="bottom"/>
        </w:tcPr>
        <w:p w14:paraId="4E3872DD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Zarząd: </w:t>
          </w:r>
        </w:p>
        <w:p w14:paraId="669B700F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Jacek Dobrucki</w:t>
          </w:r>
        </w:p>
        <w:p w14:paraId="7426DF3D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Henryk Suchecki</w:t>
          </w:r>
        </w:p>
        <w:p w14:paraId="124F27AA" w14:textId="77777777" w:rsidR="00FB3096" w:rsidRPr="00F24A6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26" w:type="dxa"/>
          <w:vAlign w:val="bottom"/>
        </w:tcPr>
        <w:p w14:paraId="01B16C05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KRS 0000231073</w:t>
          </w:r>
        </w:p>
        <w:p w14:paraId="0E89A554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REGON 020041354</w:t>
          </w:r>
        </w:p>
        <w:p w14:paraId="5198531F" w14:textId="77777777" w:rsidR="00FB309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NIP 894-28-25-006</w:t>
          </w:r>
        </w:p>
        <w:p w14:paraId="5BB9A14E" w14:textId="77777777" w:rsidR="00FB3096" w:rsidRPr="00F24A66" w:rsidRDefault="00FB3096" w:rsidP="00CA47E8">
          <w:pPr>
            <w:pStyle w:val="Stopka"/>
            <w:jc w:val="both"/>
            <w:rPr>
              <w:rFonts w:ascii="Arial" w:hAnsi="Arial" w:cs="Arial"/>
              <w:sz w:val="14"/>
              <w:szCs w:val="14"/>
            </w:rPr>
          </w:pPr>
        </w:p>
      </w:tc>
    </w:tr>
  </w:tbl>
  <w:p w14:paraId="4804B049" w14:textId="77777777" w:rsidR="00FB3096" w:rsidRDefault="00FB3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B55A" w14:textId="77777777" w:rsidR="005D50BA" w:rsidRDefault="005D50BA">
      <w:r>
        <w:separator/>
      </w:r>
    </w:p>
  </w:footnote>
  <w:footnote w:type="continuationSeparator" w:id="0">
    <w:p w14:paraId="58E613CB" w14:textId="77777777" w:rsidR="005D50BA" w:rsidRDefault="005D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5A29" w14:textId="20F9E193" w:rsidR="00FB3096" w:rsidRDefault="00FB3096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1878A7" wp14:editId="2950EF52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876300" cy="876300"/>
          <wp:effectExtent l="0" t="0" r="0" b="0"/>
          <wp:wrapNone/>
          <wp:docPr id="186458466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1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82"/>
      <w:gridCol w:w="5778"/>
    </w:tblGrid>
    <w:tr w:rsidR="00FB3096" w14:paraId="49D37966" w14:textId="77777777" w:rsidTr="0024102E">
      <w:trPr>
        <w:trHeight w:val="180"/>
      </w:trPr>
      <w:tc>
        <w:tcPr>
          <w:tcW w:w="3582" w:type="dxa"/>
        </w:tcPr>
        <w:p w14:paraId="5E1CED23" w14:textId="1E5B6110" w:rsidR="00FB3096" w:rsidRDefault="00FB3096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7650964C" wp14:editId="504FBEE6">
                <wp:simplePos x="0" y="0"/>
                <wp:positionH relativeFrom="column">
                  <wp:posOffset>-158750</wp:posOffset>
                </wp:positionH>
                <wp:positionV relativeFrom="paragraph">
                  <wp:posOffset>-235585</wp:posOffset>
                </wp:positionV>
                <wp:extent cx="1104900" cy="1104900"/>
                <wp:effectExtent l="0" t="0" r="0" b="0"/>
                <wp:wrapNone/>
                <wp:docPr id="1445476106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k</w:t>
          </w:r>
        </w:p>
        <w:p w14:paraId="16C22EC9" w14:textId="77777777" w:rsidR="00FB3096" w:rsidRDefault="00FB3096">
          <w:pPr>
            <w:pStyle w:val="Nagwek"/>
          </w:pPr>
        </w:p>
        <w:p w14:paraId="32898B0B" w14:textId="77777777" w:rsidR="00FB3096" w:rsidRDefault="00FB3096">
          <w:pPr>
            <w:pStyle w:val="Nagwek"/>
          </w:pPr>
        </w:p>
        <w:p w14:paraId="61A7FD69" w14:textId="77777777" w:rsidR="00FB3096" w:rsidRDefault="00FB3096">
          <w:pPr>
            <w:pStyle w:val="Nagwek"/>
          </w:pPr>
        </w:p>
        <w:p w14:paraId="04B18BE0" w14:textId="77777777" w:rsidR="00FB3096" w:rsidRDefault="00FB3096">
          <w:pPr>
            <w:pStyle w:val="Nagwek"/>
          </w:pPr>
        </w:p>
      </w:tc>
      <w:tc>
        <w:tcPr>
          <w:tcW w:w="5778" w:type="dxa"/>
        </w:tcPr>
        <w:p w14:paraId="2A4FC4FA" w14:textId="77777777" w:rsidR="00FB3096" w:rsidRDefault="00FB3096">
          <w:pPr>
            <w:pStyle w:val="Nagwek"/>
          </w:pPr>
        </w:p>
        <w:p w14:paraId="514471ED" w14:textId="77777777" w:rsidR="00FB3096" w:rsidRPr="000E596A" w:rsidRDefault="00FB3096" w:rsidP="000E596A">
          <w:pPr>
            <w:tabs>
              <w:tab w:val="left" w:pos="2269"/>
            </w:tabs>
          </w:pPr>
          <w:r>
            <w:tab/>
          </w:r>
        </w:p>
      </w:tc>
    </w:tr>
    <w:tr w:rsidR="00FB3096" w:rsidRPr="000A3F63" w14:paraId="2CD98602" w14:textId="77777777" w:rsidTr="0024102E">
      <w:trPr>
        <w:trHeight w:val="180"/>
      </w:trPr>
      <w:tc>
        <w:tcPr>
          <w:tcW w:w="3582" w:type="dxa"/>
        </w:tcPr>
        <w:p w14:paraId="50E511E6" w14:textId="77777777" w:rsidR="00FB3096" w:rsidRPr="006768DD" w:rsidRDefault="00FB3096">
          <w:pPr>
            <w:pStyle w:val="Nagwek"/>
            <w:rPr>
              <w:rFonts w:ascii="Arial" w:hAnsi="Arial" w:cs="Arial"/>
              <w:b/>
              <w:color w:val="1F497D"/>
              <w:sz w:val="28"/>
              <w:szCs w:val="28"/>
            </w:rPr>
          </w:pPr>
        </w:p>
      </w:tc>
      <w:tc>
        <w:tcPr>
          <w:tcW w:w="5778" w:type="dxa"/>
        </w:tcPr>
        <w:p w14:paraId="7EEC8835" w14:textId="00121380" w:rsidR="00FB3096" w:rsidRDefault="00FB3096">
          <w:pPr>
            <w:pStyle w:val="Nagwek"/>
            <w:rPr>
              <w:rFonts w:ascii="Arial" w:hAnsi="Arial" w:cs="Arial"/>
              <w:sz w:val="16"/>
              <w:szCs w:val="16"/>
              <w:lang w:val="de-DE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 wp14:anchorId="0CA2D6F3" wp14:editId="14B50874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38734</wp:posOffset>
                    </wp:positionV>
                    <wp:extent cx="3691890" cy="0"/>
                    <wp:effectExtent l="0" t="0" r="0" b="0"/>
                    <wp:wrapNone/>
                    <wp:docPr id="3" name="Łącznik prosty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69189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FF8601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D89D26" id="Łącznik prosty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3pt,3.05pt" to="287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" strokecolor="#ff8601">
                    <o:lock v:ext="edit" shapetype="f"/>
                  </v:line>
                </w:pict>
              </mc:Fallback>
            </mc:AlternateContent>
          </w:r>
        </w:p>
        <w:p w14:paraId="5332496C" w14:textId="77777777" w:rsidR="00FB3096" w:rsidRPr="0077799F" w:rsidRDefault="00FB3096" w:rsidP="006D75D2">
          <w:pPr>
            <w:pStyle w:val="Nagwek"/>
            <w:jc w:val="right"/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</w:pPr>
          <w:proofErr w:type="spellStart"/>
          <w:r w:rsidRPr="0077799F"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>TaxALERT</w:t>
          </w:r>
          <w:proofErr w:type="spellEnd"/>
          <w:r w:rsidRPr="0077799F"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 xml:space="preserve"> </w:t>
          </w:r>
          <w:r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>16</w:t>
          </w:r>
          <w:r w:rsidRPr="0077799F"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>kwietnia</w:t>
          </w:r>
          <w:proofErr w:type="spellEnd"/>
          <w:r w:rsidRPr="0077799F"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 xml:space="preserve"> 202</w:t>
          </w:r>
          <w:r>
            <w:rPr>
              <w:rFonts w:ascii="Arial" w:hAnsi="Arial" w:cs="Arial"/>
              <w:b/>
              <w:color w:val="1F497D"/>
              <w:sz w:val="36"/>
              <w:szCs w:val="36"/>
              <w:lang w:val="de-DE"/>
            </w:rPr>
            <w:t>6 r.</w:t>
          </w:r>
        </w:p>
        <w:p w14:paraId="4B378AED" w14:textId="77777777" w:rsidR="00FB3096" w:rsidRPr="000A3F63" w:rsidRDefault="00FB3096">
          <w:pPr>
            <w:pStyle w:val="Nagwek"/>
            <w:rPr>
              <w:rFonts w:ascii="Arial" w:hAnsi="Arial" w:cs="Arial"/>
              <w:sz w:val="16"/>
              <w:szCs w:val="16"/>
              <w:lang w:val="de-DE"/>
            </w:rPr>
          </w:pPr>
        </w:p>
      </w:tc>
    </w:tr>
  </w:tbl>
  <w:p w14:paraId="2FF6C163" w14:textId="77777777" w:rsidR="00FB3096" w:rsidRDefault="00FB3096">
    <w:pPr>
      <w:pStyle w:val="Nagwek"/>
      <w:rPr>
        <w:lang w:val="de-DE"/>
      </w:rPr>
    </w:pPr>
  </w:p>
  <w:p w14:paraId="2865B175" w14:textId="77777777" w:rsidR="00FB3096" w:rsidRPr="000A3F63" w:rsidRDefault="00FB3096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96"/>
    <w:rsid w:val="00071A2E"/>
    <w:rsid w:val="001D6EA3"/>
    <w:rsid w:val="00303F7A"/>
    <w:rsid w:val="00455BB6"/>
    <w:rsid w:val="004A4D3A"/>
    <w:rsid w:val="004E4416"/>
    <w:rsid w:val="005C5786"/>
    <w:rsid w:val="005D50BA"/>
    <w:rsid w:val="006F305D"/>
    <w:rsid w:val="00794303"/>
    <w:rsid w:val="0085444B"/>
    <w:rsid w:val="00AC1C25"/>
    <w:rsid w:val="00AE2CEA"/>
    <w:rsid w:val="00C01434"/>
    <w:rsid w:val="00D46109"/>
    <w:rsid w:val="00DE7344"/>
    <w:rsid w:val="00E43A21"/>
    <w:rsid w:val="00F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300BE"/>
  <w15:chartTrackingRefBased/>
  <w15:docId w15:val="{377FD5D6-2249-4A4A-A4D8-3FEF2EF1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0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0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0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0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0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0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0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0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0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0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0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0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0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30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096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0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30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096"/>
    <w:pPr>
      <w:ind w:left="720"/>
      <w:contextualSpacing/>
    </w:pPr>
    <w:rPr>
      <w:rFonts w:ascii="Arial" w:eastAsiaTheme="minorHAnsi" w:hAnsi="Arial" w:cstheme="minorBidi"/>
      <w:kern w:val="2"/>
      <w:sz w:val="20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30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0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0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09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FB30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30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FB30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309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FB3096"/>
    <w:rPr>
      <w:color w:val="0000FF"/>
      <w:u w:val="single"/>
    </w:rPr>
  </w:style>
  <w:style w:type="paragraph" w:styleId="Poprawka">
    <w:name w:val="Revision"/>
    <w:hidden/>
    <w:uiPriority w:val="99"/>
    <w:semiHidden/>
    <w:rsid w:val="00455BB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daniel.oleksyk@dmstax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acek.dobrucki@dmstax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Oleksyk</dc:creator>
  <cp:keywords/>
  <dc:description/>
  <cp:lastModifiedBy>Marta Filipowska</cp:lastModifiedBy>
  <cp:revision>5</cp:revision>
  <cp:lastPrinted>2026-04-22T12:19:00Z</cp:lastPrinted>
  <dcterms:created xsi:type="dcterms:W3CDTF">2026-04-16T13:24:00Z</dcterms:created>
  <dcterms:modified xsi:type="dcterms:W3CDTF">2026-04-22T12:26:00Z</dcterms:modified>
</cp:coreProperties>
</file>